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  <w:keepNext/>
      </w:pPr>
      <w:r>
        <w:rPr>
          <w:rFonts w:ascii="Calibri" w:hAnsi="Calibri" w:eastAsia="Calibri" w:cs="Calibri"/>
          <w:b/>
          <w:color w:val="2E74B5"/>
          <w:sz w:val="20"/>
        </w:rPr>
        <w:t>КОНСПЕКТ КЛАССНОГО ЧАСА</w:t>
      </w:r>
    </w:p>
    <w:p>
      <w:pPr>
        <w:pStyle w:val="Title"/>
      </w:pPr>
      <w:r>
        <w:t>Кодекс класса: наши красные линии</w:t>
      </w:r>
    </w:p>
    <w:p>
      <w:pPr>
        <w:spacing w:after="280"/>
        <w:keepNext/>
      </w:pPr>
      <w:r>
        <w:rPr>
          <w:rFonts w:ascii="Calibri" w:hAnsi="Calibri" w:eastAsia="Calibri" w:cs="Calibri"/>
          <w:color w:val="5B6570"/>
          <w:sz w:val="26"/>
        </w:rPr>
        <w:t>Профилактика травли и развитие безопасного общения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6" w:space="0" w:color="C9D6E2"/>
          <w:left w:val="single" w:sz="6" w:space="0" w:color="C9D6E2"/>
          <w:bottom w:val="single" w:sz="6" w:space="0" w:color="C9D6E2"/>
          <w:right w:val="single" w:sz="6" w:space="0" w:color="C9D6E2"/>
          <w:insideH w:val="single" w:sz="6" w:space="0" w:color="C9D6E2"/>
          <w:insideV w:val="single" w:sz="6" w:space="0" w:color="C9D6E2"/>
        </w:tblBorders>
      </w:tblPr>
      <w:tblGrid>
        <w:gridCol w:w="3120"/>
        <w:gridCol w:w="3120"/>
        <w:gridCol w:w="3120"/>
      </w:tblGrid>
      <w:tr>
        <w:trPr>
          <w:cantSplit/>
        </w:trPr>
        <w:tc>
          <w:tcPr>
            <w:tcW w:type="dxa" w:w="31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pPr>
              <w:spacing w:before="60" w:after="60"/>
              <w:jc w:val="center"/>
            </w:pPr>
            <w:r>
              <w:rPr>
                <w:rFonts w:ascii="Calibri" w:hAnsi="Calibri" w:eastAsia="Calibri" w:cs="Calibri"/>
                <w:b/>
                <w:color w:val="2E74B5"/>
                <w:sz w:val="17"/>
              </w:rPr>
              <w:t>ВОЗРАСТ</w:t>
              <w:br/>
            </w:r>
            <w:r>
              <w:rPr>
                <w:rFonts w:ascii="Calibri" w:hAnsi="Calibri" w:eastAsia="Calibri" w:cs="Calibri"/>
                <w:b/>
                <w:color w:val="123A5A"/>
                <w:sz w:val="21"/>
              </w:rPr>
              <w:t>4–8 классы</w:t>
            </w:r>
          </w:p>
        </w:tc>
        <w:tc>
          <w:tcPr>
            <w:tcW w:type="dxa" w:w="31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pPr>
              <w:spacing w:before="60" w:after="60"/>
              <w:jc w:val="center"/>
            </w:pPr>
            <w:r>
              <w:rPr>
                <w:rFonts w:ascii="Calibri" w:hAnsi="Calibri" w:eastAsia="Calibri" w:cs="Calibri"/>
                <w:b/>
                <w:color w:val="2E74B5"/>
                <w:sz w:val="17"/>
              </w:rPr>
              <w:t>ВРЕМЯ</w:t>
              <w:br/>
            </w:r>
            <w:r>
              <w:rPr>
                <w:rFonts w:ascii="Calibri" w:hAnsi="Calibri" w:eastAsia="Calibri" w:cs="Calibri"/>
                <w:b/>
                <w:color w:val="123A5A"/>
                <w:sz w:val="21"/>
              </w:rPr>
              <w:t>45 минут</w:t>
            </w:r>
          </w:p>
        </w:tc>
        <w:tc>
          <w:tcPr>
            <w:tcW w:type="dxa" w:w="31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pPr>
              <w:spacing w:before="60" w:after="60"/>
              <w:jc w:val="center"/>
            </w:pPr>
            <w:r>
              <w:rPr>
                <w:rFonts w:ascii="Calibri" w:hAnsi="Calibri" w:eastAsia="Calibri" w:cs="Calibri"/>
                <w:b/>
                <w:color w:val="2E74B5"/>
                <w:sz w:val="17"/>
              </w:rPr>
              <w:t>ФОРМАТ</w:t>
              <w:br/>
            </w:r>
            <w:r>
              <w:rPr>
                <w:rFonts w:ascii="Calibri" w:hAnsi="Calibri" w:eastAsia="Calibri" w:cs="Calibri"/>
                <w:b/>
                <w:color w:val="123A5A"/>
                <w:sz w:val="21"/>
              </w:rPr>
              <w:t>классный час</w:t>
            </w:r>
          </w:p>
        </w:tc>
      </w:tr>
    </w:tbl>
    <w:p>
      <w:pPr>
        <w:spacing w:after="0"/>
      </w:pPr>
    </w:p>
    <w:p>
      <w:pPr>
        <w:pStyle w:val="Heading1"/>
      </w:pPr>
      <w:r>
        <w:t>О материале</w:t>
      </w:r>
    </w:p>
    <w:p>
      <w:r>
        <w:t>Общие ценности работают только тогда, когда участники понимают, как они проявляются в конкретных действиях. Сценарий помогает классу перевести слова «уважение» и «безопасность» в наблюдаемые правила и согласовать реакцию на нарушения.</w:t>
      </w:r>
    </w:p>
    <w:p>
      <w:r>
        <w:t>Класс выбирает ключевые ценности, формулирует понятные действия, обсуждает сигнал остановки и восстановительные шаги, а затем принимает общий кодекс.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E6CC8A"/>
          <w:left w:val="single" w:sz="6" w:space="0" w:color="E6CC8A"/>
          <w:bottom w:val="single" w:sz="6" w:space="0" w:color="E6CC8A"/>
          <w:right w:val="single" w:sz="6" w:space="0" w:color="E6CC8A"/>
          <w:insideH w:val="single" w:sz="6" w:space="0" w:color="E6CC8A"/>
          <w:insideV w:val="single" w:sz="6" w:space="0" w:color="E6CC8A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3D6" w:val="clear"/>
          </w:tcPr>
          <w:p>
            <w:pPr>
              <w:spacing w:before="40" w:after="40"/>
            </w:pPr>
            <w:r>
              <w:rPr>
                <w:rFonts w:ascii="Calibri" w:hAnsi="Calibri" w:eastAsia="Calibri" w:cs="Calibri"/>
                <w:b/>
                <w:color w:val="123A5A"/>
                <w:sz w:val="21"/>
              </w:rPr>
              <w:t xml:space="preserve">Важно ведущему. </w:t>
            </w:r>
            <w:r>
              <w:rPr>
                <w:rFonts w:ascii="Calibri" w:hAnsi="Calibri" w:eastAsia="Calibri" w:cs="Calibri"/>
                <w:color w:val="123A5A"/>
                <w:sz w:val="21"/>
              </w:rPr>
              <w:t>Итоговые правила должны распространяться на всех участников, включая взрослых. Не включайте в кодекс унизительные санкции: цель реакции — остановить вред и восстановить безопасное взаимодействие.</w:t>
            </w:r>
          </w:p>
        </w:tc>
      </w:tr>
    </w:tbl>
    <w:p>
      <w:pPr>
        <w:spacing w:after="0"/>
      </w:pPr>
    </w:p>
    <w:p>
      <w:pPr>
        <w:pStyle w:val="Heading1"/>
      </w:pPr>
      <w:r>
        <w:t>Методическая цель</w:t>
      </w:r>
    </w:p>
    <w:p>
      <w:r>
        <w:t>Совместно выработать антибуллинговые правила, переведя ценности в наблюдаемые действия и договорившись о реакциях на нарушения.</w:t>
      </w:r>
    </w:p>
    <w:p>
      <w:pPr>
        <w:pStyle w:val="Heading1"/>
      </w:pPr>
      <w:r>
        <w:t>Что подготовить</w:t>
      </w:r>
    </w:p>
    <w:p>
      <w:r>
        <w:t>шаблон «Правила нашего класса» (на группу), маркеры, доска, карточки с ценностями, «Красные карточки» для голосования, плакат для финального свода.</w:t>
      </w:r>
    </w:p>
    <w:p>
      <w:pPr>
        <w:pStyle w:val="Heading1"/>
      </w:pPr>
      <w:r>
        <w:t>Ход занятия</w:t>
      </w:r>
    </w:p>
    <w:p>
      <w:pPr>
        <w:pStyle w:val="Heading2"/>
      </w:pPr>
      <w:r>
        <w:t>1. Актуализация «Зачем нужны правила?» (5 мин)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Учитель начинает с вопроса: «Представьте, что в футболе отменили все правила. Что произойдёт?» Дети высказываются. Аналогия переносится на класс: «А если в нашем общении нет понятных правил? Что тогда происходит?». Подвести к выводу: правила защищают, делают жизнь предсказуемой.</w:t>
      </w:r>
    </w:p>
    <w:p>
      <w:pPr>
        <w:pStyle w:val="Heading2"/>
      </w:pPr>
      <w:r>
        <w:t>2. Выбор ценностей (10 мин)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Класс делится на группы. Каждая получает набор карточек с ценностями: «Уважение», «Безопасность», «Дружба», «Право на ошибку», «Честность», «Помощь». Группы обсуждают и выбирают 4 самые важные для их класса. Результаты выписываются на доску, общим голосованием (красные карточки — «обязательно») оставляют 4–5 ключевых.</w:t>
      </w:r>
    </w:p>
    <w:p>
      <w:pPr>
        <w:pStyle w:val="Heading2"/>
      </w:pPr>
      <w:r>
        <w:t>3. Перевод в действия (15 мин)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Каждая группа берёт одну ценность и заполняет часть общего шаблона: «В нашем классе это выглядит так...». Необходимо записать 3–4 конкретных наблюдаемых действия. Учитель приводит пример для ценности «Уважение»: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Обращаемся по имени.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Не перебиваем.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Не смеёмся над чужим ответом.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Не читаем чужие записки.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Группы работают, затем представляют. Класс обсуждает и дополняет формулировки, пока не будет достигнуто согласие.</w:t>
      </w:r>
    </w:p>
    <w:p>
      <w:pPr>
        <w:pStyle w:val="Heading2"/>
      </w:pPr>
      <w:r>
        <w:t>4. Определение реакций на нарушения (10 мин)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Учитель задаёт вопрос: «А что, если правило нарушено? Как мы будем реагировать?» Вместе обсуждаются три шага: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Сигнал — слово «стоп» или поднятая рука.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Напоминание: «У нас правило — не обзываться».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 w:eastAsia="Calibri" w:cs="Calibri"/>
          <w:b w:val="0"/>
          <w:i w:val="0"/>
          <w:sz w:val="22"/>
        </w:rPr>
        <w:t>Восстановление: извинение, записка, помощь классу.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Важно подчеркнуть, что цель — не наказать, а исправить ситуацию и сохранить уважение. Дети могут предложить свои варианты восстановительных действий.</w:t>
      </w:r>
    </w:p>
    <w:p>
      <w:pPr>
        <w:pStyle w:val="Heading2"/>
      </w:pPr>
      <w:r>
        <w:t>5. Принятие Кодекса (5 мин)</w:t>
      </w:r>
    </w:p>
    <w:p>
      <w:pPr>
        <w:spacing w:after="120" w:line="300" w:lineRule="auto"/>
        <w:keepLines/>
      </w:pPr>
      <w:r>
        <w:rPr>
          <w:rFonts w:ascii="Calibri" w:hAnsi="Calibri" w:eastAsia="Calibri" w:cs="Calibri"/>
          <w:b w:val="0"/>
          <w:i w:val="0"/>
          <w:sz w:val="22"/>
        </w:rPr>
        <w:t>Финальный свод правил красиво оформляется на плакате. Каждый ученик ставит подпись (или символический рисунок), выражая согласие. Плакат вывешивается в классе.</w:t>
      </w:r>
    </w:p>
    <w:p>
      <w:pPr>
        <w:pStyle w:val="Heading1"/>
        <w:pageBreakBefore/>
      </w:pPr>
      <w:r>
        <w:t>Материалы для печати</w:t>
      </w:r>
    </w:p>
    <w:p>
      <w:pPr>
        <w:spacing w:after="240"/>
      </w:pPr>
      <w:r>
        <w:t>Распечатайте нужные страницы в количестве, соответствующем числу участников и групп.</w:t>
      </w:r>
    </w:p>
    <w:p>
      <w:pPr>
        <w:pStyle w:val="Heading2"/>
        <w:pageBreakBefore w:val="0"/>
      </w:pPr>
      <w:r>
        <w:t>Карточки с ценностями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7DEE7"/>
          <w:left w:val="single" w:sz="6" w:space="0" w:color="D7DEE7"/>
          <w:bottom w:val="single" w:sz="6" w:space="0" w:color="D7DEE7"/>
          <w:right w:val="single" w:sz="6" w:space="0" w:color="D7DEE7"/>
          <w:insideH w:val="single" w:sz="6" w:space="0" w:color="D7DEE7"/>
          <w:insideV w:val="single" w:sz="6" w:space="0" w:color="D7DEE7"/>
        </w:tblBorders>
      </w:tblPr>
      <w:tblGrid>
        <w:gridCol w:w="3120"/>
        <w:gridCol w:w="3120"/>
        <w:gridCol w:w="3120"/>
      </w:tblGrid>
      <w:tr>
        <w:trPr>
          <w:cantSplit/>
        </w:trPr>
        <w:tc>
          <w:tcPr>
            <w:tcW w:type="dxa" w:w="31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sz w:val="21"/>
              </w:rPr>
              <w:t>Уважение</w:t>
            </w:r>
          </w:p>
        </w:tc>
        <w:tc>
          <w:tcPr>
            <w:tcW w:type="dxa" w:w="31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FFF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sz w:val="21"/>
              </w:rPr>
              <w:t>Безопасность</w:t>
            </w:r>
          </w:p>
        </w:tc>
        <w:tc>
          <w:tcPr>
            <w:tcW w:type="dxa" w:w="31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sz w:val="21"/>
              </w:rPr>
              <w:t>Дружба</w:t>
            </w:r>
          </w:p>
        </w:tc>
      </w:tr>
      <w:tr>
        <w:trPr>
          <w:cantSplit/>
        </w:trPr>
        <w:tc>
          <w:tcPr>
            <w:tcW w:type="dxa" w:w="31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FFF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sz w:val="21"/>
              </w:rPr>
              <w:t>Право на ошибку</w:t>
            </w:r>
          </w:p>
        </w:tc>
        <w:tc>
          <w:tcPr>
            <w:tcW w:type="dxa" w:w="31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sz w:val="21"/>
              </w:rPr>
              <w:t>Честность</w:t>
            </w:r>
          </w:p>
        </w:tc>
        <w:tc>
          <w:tcPr>
            <w:tcW w:type="dxa" w:w="31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FFF" w:val="clear"/>
          </w:tcPr>
          <w:p>
            <w:pPr>
              <w:spacing w:before="120" w:after="120"/>
            </w:pPr>
            <w:r>
              <w:rPr>
                <w:rFonts w:ascii="Calibri" w:hAnsi="Calibri" w:eastAsia="Calibri" w:cs="Calibri"/>
                <w:sz w:val="21"/>
              </w:rPr>
              <w:t>Помощь</w:t>
            </w:r>
          </w:p>
        </w:tc>
      </w:tr>
    </w:tbl>
    <w:p>
      <w:pPr>
        <w:spacing w:after="0"/>
      </w:pPr>
    </w:p>
    <w:p>
      <w:pPr>
        <w:pStyle w:val="Heading2"/>
        <w:pageBreakBefore/>
      </w:pPr>
      <w:r>
        <w:t>Шаблон «Правила нашего класса»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7DEE7"/>
          <w:left w:val="single" w:sz="6" w:space="0" w:color="D7DEE7"/>
          <w:bottom w:val="single" w:sz="6" w:space="0" w:color="D7DEE7"/>
          <w:right w:val="single" w:sz="6" w:space="0" w:color="D7DEE7"/>
          <w:insideH w:val="single" w:sz="6" w:space="0" w:color="D7DEE7"/>
          <w:insideV w:val="single" w:sz="6" w:space="0" w:color="D7DEE7"/>
        </w:tblBorders>
      </w:tblPr>
      <w:tblGrid>
        <w:gridCol w:w="2200"/>
        <w:gridCol w:w="3780"/>
        <w:gridCol w:w="3380"/>
      </w:tblGrid>
      <w:tr>
        <w:trPr>
          <w:cantSplit/>
        </w:trP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r>
              <w:rPr>
                <w:rFonts w:ascii="Calibri" w:hAnsi="Calibri" w:eastAsia="Calibri" w:cs="Calibri"/>
                <w:b/>
                <w:color w:val="123A5A"/>
                <w:sz w:val="20"/>
              </w:rPr>
              <w:t>Ценность</w:t>
            </w:r>
          </w:p>
        </w:tc>
        <w:tc>
          <w:tcPr>
            <w:tcW w:type="dxa" w:w="3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r>
              <w:rPr>
                <w:rFonts w:ascii="Calibri" w:hAnsi="Calibri" w:eastAsia="Calibri" w:cs="Calibri"/>
                <w:b/>
                <w:color w:val="123A5A"/>
                <w:sz w:val="20"/>
              </w:rPr>
              <w:t>Как это выглядит в действиях</w:t>
            </w:r>
          </w:p>
        </w:tc>
        <w:tc>
          <w:tcPr>
            <w:tcW w:type="dxa" w:w="33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 w:val="clear"/>
          </w:tcPr>
          <w:p>
            <w:r>
              <w:rPr>
                <w:rFonts w:ascii="Calibri" w:hAnsi="Calibri" w:eastAsia="Calibri" w:cs="Calibri"/>
                <w:b/>
                <w:color w:val="123A5A"/>
                <w:sz w:val="20"/>
              </w:rPr>
              <w:t>Как восстанавливаем правило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/>
          <w:p/>
          <w:p/>
        </w:tc>
        <w:tc>
          <w:tcPr>
            <w:tcW w:type="dxa" w:w="3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/>
          <w:p/>
          <w:p/>
        </w:tc>
        <w:tc>
          <w:tcPr>
            <w:tcW w:type="dxa" w:w="33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/>
          <w:p/>
          <w:p/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/>
          <w:p/>
          <w:p/>
        </w:tc>
        <w:tc>
          <w:tcPr>
            <w:tcW w:type="dxa" w:w="3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/>
          <w:p/>
          <w:p/>
        </w:tc>
        <w:tc>
          <w:tcPr>
            <w:tcW w:type="dxa" w:w="33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/>
          <w:p/>
          <w:p/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/>
          <w:p/>
          <w:p/>
        </w:tc>
        <w:tc>
          <w:tcPr>
            <w:tcW w:type="dxa" w:w="3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/>
          <w:p/>
          <w:p/>
        </w:tc>
        <w:tc>
          <w:tcPr>
            <w:tcW w:type="dxa" w:w="33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/>
          <w:p/>
          <w:p/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/>
          <w:p/>
          <w:p/>
        </w:tc>
        <w:tc>
          <w:tcPr>
            <w:tcW w:type="dxa" w:w="3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/>
          <w:p/>
          <w:p/>
        </w:tc>
        <w:tc>
          <w:tcPr>
            <w:tcW w:type="dxa" w:w="33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/>
          <w:p/>
          <w:p/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/>
          <w:p/>
          <w:p/>
        </w:tc>
        <w:tc>
          <w:tcPr>
            <w:tcW w:type="dxa" w:w="3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/>
          <w:p/>
          <w:p/>
        </w:tc>
        <w:tc>
          <w:tcPr>
            <w:tcW w:type="dxa" w:w="33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/>
          <w:p/>
          <w:p/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/>
          <w:p/>
          <w:p/>
        </w:tc>
        <w:tc>
          <w:tcPr>
            <w:tcW w:type="dxa" w:w="3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/>
          <w:p/>
          <w:p/>
        </w:tc>
        <w:tc>
          <w:tcPr>
            <w:tcW w:type="dxa" w:w="33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/>
          <w:p/>
          <w:p/>
        </w:tc>
      </w:tr>
    </w:tbl>
    <w:p>
      <w:pPr>
        <w:pStyle w:val="Heading2"/>
        <w:pageBreakBefore/>
      </w:pPr>
      <w:r>
        <w:t>Принятие кодекса</w:t>
      </w:r>
    </w:p>
    <w:p>
      <w:pPr>
        <w:spacing w:after="80"/>
      </w:pPr>
      <w:r>
        <w:rPr>
          <w:rFonts w:ascii="Calibri" w:hAnsi="Calibri" w:eastAsia="Calibri" w:cs="Calibri"/>
          <w:b/>
          <w:color w:val="123A5A"/>
          <w:sz w:val="22"/>
        </w:rPr>
        <w:t>Наш общий сигнал «стоп»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 w:cs="Calibri"/>
          <w:b/>
          <w:color w:val="123A5A"/>
          <w:sz w:val="22"/>
        </w:rPr>
        <w:t>Как мы напоминаем о правиле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 w:cs="Calibri"/>
          <w:b/>
          <w:color w:val="123A5A"/>
          <w:sz w:val="22"/>
        </w:rPr>
        <w:t>Какие восстановительные действия считаем справедливыми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 w:cs="Calibri"/>
          <w:b/>
          <w:color w:val="123A5A"/>
          <w:sz w:val="22"/>
        </w:rPr>
        <w:t>Дата принятия и подписи / символы участников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p>
      <w:pPr>
        <w:spacing w:after="40" w:line="240" w:lineRule="auto"/>
      </w:pPr>
      <w:r>
        <w:rPr>
          <w:rFonts w:ascii="Calibri" w:hAnsi="Calibri" w:eastAsia="Calibri" w:cs="Calibri"/>
          <w:color w:val="9AA3AC"/>
          <w:sz w:val="18"/>
        </w:rPr>
        <w:t>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52" w:right="1440" w:bottom="1152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 w:eastAsia="Calibri" w:cs="Calibri"/>
        <w:color w:val="5B6570"/>
        <w:sz w:val="17"/>
      </w:rPr>
      <w:t xml:space="preserve">Национальный институт защиты детства  •  </w:t>
    </w:r>
    <w:r>
      <w:rPr>
        <w:rFonts w:ascii="Calibri" w:hAnsi="Calibri" w:eastAsia="Calibri" w:cs="Calibri"/>
        <w:color w:val="5B6570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libri" w:hAnsi="Calibri" w:eastAsia="Calibri" w:cs="Calibri"/>
        <w:b/>
        <w:color w:val="5B6570"/>
        <w:sz w:val="17"/>
      </w:rPr>
      <w:t>БИБЛИОТЕКА МЕТОДИЧЕСКИХ МАТЕРИАЛОВ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</w:pPr>
      <w:rPr>
        <w:rFonts w:ascii="Calibri" w:hAnsi="Calibri"/>
      </w:rPr>
    </w:lvl>
  </w:abstract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1"/>
      </w:pPr>
      <w:rPr>
        <w:rFonts w:ascii="Calibri" w:hAnsi="Calibri"/>
      </w:rPr>
    </w:lvl>
  </w:abstract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pageBreakBefore w:val="0"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pageBreakBefore w:val="0"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pageBreakBefore w:val="0"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23A5A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Классный час «Кодекс класса: наши красные линии»</dc:title>
  <dc:subject>Профилактика буллинга. Конспект классного часа с раздаточными материалами.</dc:subject>
  <dc:creator/>
  <cp:keywords>буллинг, травля, классный час, профилактика, школа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>Методические материалы</cp:category>
</cp:coreProperties>
</file>