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keepNext/>
      </w:pPr>
      <w:r>
        <w:rPr>
          <w:rFonts w:ascii="Calibri" w:hAnsi="Calibri" w:eastAsia="Calibri" w:cs="Calibri"/>
          <w:b/>
          <w:color w:val="2E74B5"/>
          <w:sz w:val="20"/>
        </w:rPr>
        <w:t>КОНСПЕКТ КЛАССНОГО ЧАСА</w:t>
      </w:r>
    </w:p>
    <w:p>
      <w:pPr>
        <w:pStyle w:val="Title"/>
      </w:pPr>
      <w:r>
        <w:t>Тонкая грань: шутка или травля?</w:t>
      </w:r>
    </w:p>
    <w:p>
      <w:pPr>
        <w:spacing w:after="280"/>
        <w:keepNext/>
      </w:pPr>
      <w:r>
        <w:rPr>
          <w:rFonts w:ascii="Calibri" w:hAnsi="Calibri" w:eastAsia="Calibri" w:cs="Calibri"/>
          <w:color w:val="5B6570"/>
          <w:sz w:val="26"/>
        </w:rPr>
        <w:t>Профилактика травли и развитие безопасного общения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6" w:space="0" w:color="C9D6E2"/>
          <w:left w:val="single" w:sz="6" w:space="0" w:color="C9D6E2"/>
          <w:bottom w:val="single" w:sz="6" w:space="0" w:color="C9D6E2"/>
          <w:right w:val="single" w:sz="6" w:space="0" w:color="C9D6E2"/>
          <w:insideH w:val="single" w:sz="6" w:space="0" w:color="C9D6E2"/>
          <w:insideV w:val="single" w:sz="6" w:space="0" w:color="C9D6E2"/>
        </w:tblBorders>
      </w:tblPr>
      <w:tblGrid>
        <w:gridCol w:w="3120"/>
        <w:gridCol w:w="3120"/>
        <w:gridCol w:w="3120"/>
      </w:tblGrid>
      <w:tr>
        <w:trPr>
          <w:cantSplit/>
        </w:trPr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60" w:after="60"/>
              <w:jc w:val="center"/>
            </w:pPr>
            <w:r>
              <w:rPr>
                <w:rFonts w:ascii="Calibri" w:hAnsi="Calibri" w:eastAsia="Calibri" w:cs="Calibri"/>
                <w:b/>
                <w:color w:val="2E74B5"/>
                <w:sz w:val="17"/>
              </w:rPr>
              <w:t>ВОЗРАСТ</w:t>
              <w:br/>
            </w: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>6–9 классы</w:t>
            </w:r>
          </w:p>
        </w:tc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60" w:after="60"/>
              <w:jc w:val="center"/>
            </w:pPr>
            <w:r>
              <w:rPr>
                <w:rFonts w:ascii="Calibri" w:hAnsi="Calibri" w:eastAsia="Calibri" w:cs="Calibri"/>
                <w:b/>
                <w:color w:val="2E74B5"/>
                <w:sz w:val="17"/>
              </w:rPr>
              <w:t>ВРЕМЯ</w:t>
              <w:br/>
            </w: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>40–45 минут</w:t>
            </w:r>
          </w:p>
        </w:tc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60" w:after="60"/>
              <w:jc w:val="center"/>
            </w:pPr>
            <w:r>
              <w:rPr>
                <w:rFonts w:ascii="Calibri" w:hAnsi="Calibri" w:eastAsia="Calibri" w:cs="Calibri"/>
                <w:b/>
                <w:color w:val="2E74B5"/>
                <w:sz w:val="17"/>
              </w:rPr>
              <w:t>ФОРМАТ</w:t>
              <w:br/>
            </w: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>классный час</w:t>
            </w:r>
          </w:p>
        </w:tc>
      </w:tr>
    </w:tbl>
    <w:p>
      <w:pPr>
        <w:spacing w:after="0"/>
      </w:pPr>
    </w:p>
    <w:p>
      <w:pPr>
        <w:pStyle w:val="Heading1"/>
      </w:pPr>
      <w:r>
        <w:t>О материале</w:t>
      </w:r>
    </w:p>
    <w:p>
      <w:r>
        <w:t>Фраза «это была просто шутка» часто скрывает непонимание реакции другого человека. Сценарий помогает классу выработать ясные критерии, по которым юмор можно отличить от унижения и систематической травли.</w:t>
      </w:r>
    </w:p>
    <w:p>
      <w:r>
        <w:t>Участники анализируют спорные ситуации, выстраивают их на спектре, обсуждают повторяемость, равноправие и готовность остановиться, а затем создают собственный кодекс здорового юмора.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E6CC8A"/>
          <w:left w:val="single" w:sz="6" w:space="0" w:color="E6CC8A"/>
          <w:bottom w:val="single" w:sz="6" w:space="0" w:color="E6CC8A"/>
          <w:right w:val="single" w:sz="6" w:space="0" w:color="E6CC8A"/>
          <w:insideH w:val="single" w:sz="6" w:space="0" w:color="E6CC8A"/>
          <w:insideV w:val="single" w:sz="6" w:space="0" w:color="E6CC8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3D6" w:val="clear"/>
          </w:tcPr>
          <w:p>
            <w:pPr>
              <w:spacing w:before="40" w:after="40"/>
            </w:pP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 xml:space="preserve">Важно ведущему. </w:t>
            </w:r>
            <w:r>
              <w:rPr>
                <w:rFonts w:ascii="Calibri" w:hAnsi="Calibri" w:eastAsia="Calibri" w:cs="Calibri"/>
                <w:color w:val="123A5A"/>
                <w:sz w:val="21"/>
              </w:rPr>
              <w:t>Не предлагайте детям приводить примеры с именами одноклассников. Если фраза или кейс вызывает заметное напряжение, остановите обсуждение и верните группе правило: реакция адресата важнее намерения шутящего.</w:t>
            </w:r>
          </w:p>
        </w:tc>
      </w:tr>
    </w:tbl>
    <w:p>
      <w:pPr>
        <w:spacing w:after="0"/>
      </w:pPr>
    </w:p>
    <w:p>
      <w:pPr>
        <w:pStyle w:val="Heading1"/>
      </w:pPr>
      <w:r>
        <w:t>Методическая цель</w:t>
      </w:r>
    </w:p>
    <w:p>
      <w:r>
        <w:t>Развить умение различать безобидный юмор и унижающие насмешки, обсудить критерии.</w:t>
      </w:r>
    </w:p>
    <w:p>
      <w:pPr>
        <w:pStyle w:val="Heading1"/>
      </w:pPr>
      <w:r>
        <w:t>Что подготовить</w:t>
      </w:r>
    </w:p>
    <w:p>
      <w:r>
        <w:t>карточки с высказываниями (нейтральные, спорные, явно обидные), ватман с таблицей «Шутка / Унижение», маркеры, листы для голосования.</w:t>
      </w:r>
    </w:p>
    <w:p>
      <w:pPr>
        <w:pStyle w:val="Heading1"/>
      </w:pPr>
      <w:r>
        <w:t>Ход занятия</w:t>
      </w:r>
    </w:p>
    <w:p>
      <w:pPr>
        <w:pStyle w:val="Heading2"/>
      </w:pPr>
      <w:r>
        <w:t>1. Вводная провокация (5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Учитель зачитывает несколько фраз и просит поднять руку, кто считает это шуткой, а кто — обидным.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«Ну ты и тормоз!»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«Ой, да ладно, я ж любя!»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«Ха-ха, посмотрите на его прикид!»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«Ты сегодня смешной, как клоун».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После каждого — короткое обсуждение. Учитель подводит к мысли: то, что для одного шутка, для другого может быть болью. Нет объективной «шутки», важно, как воспринимает тот, на кого она направлена.</w:t>
      </w:r>
    </w:p>
    <w:p>
      <w:pPr>
        <w:pStyle w:val="Heading2"/>
      </w:pPr>
      <w:r>
        <w:t>2. Работа с критериями (10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Класс делится на группы, каждой выдаётся одинаковый набор карточек с ситуациями: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Коля пошутил над тем, как Маша прочитала стих, и все засмеялись, включая Машу.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Петя постоянно называет Васю «жиртрестом», Вася каждый раз хмурится и отворачивается.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Девочки шепчутся и хихикают, когда мимо проходит Аня, Аня ускоряет шаг.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Друзья подшучивают друг над другом, оба улыбаются.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В соцсетях под фото одноклассника пишут «урод», незнакомые люди ставят лайки.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Задание: разложить карточки на спектре от «точно шутка» до «точно травля». Обсудить: по каким признакам вы это определили?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Затем группы выводят критерии. Учитель фиксирует их в таблицу на доске. Примерные критерии: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/>
          <w:i w:val="0"/>
          <w:sz w:val="22"/>
        </w:rPr>
        <w:t>Реакция того, на кого направлено:</w:t>
      </w:r>
      <w:r>
        <w:rPr>
          <w:rFonts w:ascii="Calibri" w:hAnsi="Calibri" w:eastAsia="Calibri" w:cs="Calibri"/>
          <w:b w:val="0"/>
          <w:i w:val="0"/>
          <w:sz w:val="22"/>
        </w:rPr>
        <w:t xml:space="preserve"> смеётся вместе со всеми или расстраивается, замыкается.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/>
          <w:i w:val="0"/>
          <w:sz w:val="22"/>
        </w:rPr>
        <w:t>Повторяемость:</w:t>
      </w:r>
      <w:r>
        <w:rPr>
          <w:rFonts w:ascii="Calibri" w:hAnsi="Calibri" w:eastAsia="Calibri" w:cs="Calibri"/>
          <w:b w:val="0"/>
          <w:i w:val="0"/>
          <w:sz w:val="22"/>
        </w:rPr>
        <w:t xml:space="preserve"> один раз или систематически.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/>
          <w:i w:val="0"/>
          <w:sz w:val="22"/>
        </w:rPr>
        <w:t>Цель:</w:t>
      </w:r>
      <w:r>
        <w:rPr>
          <w:rFonts w:ascii="Calibri" w:hAnsi="Calibri" w:eastAsia="Calibri" w:cs="Calibri"/>
          <w:b w:val="0"/>
          <w:i w:val="0"/>
          <w:sz w:val="22"/>
        </w:rPr>
        <w:t xml:space="preserve"> развеселить, а не унизить, или показать власть, утвердить статус.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/>
          <w:i w:val="0"/>
          <w:sz w:val="22"/>
        </w:rPr>
        <w:t>Готовность остановиться:</w:t>
      </w:r>
      <w:r>
        <w:rPr>
          <w:rFonts w:ascii="Calibri" w:hAnsi="Calibri" w:eastAsia="Calibri" w:cs="Calibri"/>
          <w:b w:val="0"/>
          <w:i w:val="0"/>
          <w:sz w:val="22"/>
        </w:rPr>
        <w:t xml:space="preserve"> если попросили перестать — прекращается или продолжается.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/>
          <w:i w:val="0"/>
          <w:sz w:val="22"/>
        </w:rPr>
        <w:t>Равноправие:</w:t>
      </w:r>
      <w:r>
        <w:rPr>
          <w:rFonts w:ascii="Calibri" w:hAnsi="Calibri" w:eastAsia="Calibri" w:cs="Calibri"/>
          <w:b w:val="0"/>
          <w:i w:val="0"/>
          <w:sz w:val="22"/>
        </w:rPr>
        <w:t xml:space="preserve"> могут ли оба участника так же шутить друг над другом или один всегда объект.</w:t>
      </w:r>
    </w:p>
    <w:p>
      <w:pPr>
        <w:pStyle w:val="Heading2"/>
      </w:pPr>
      <w:r>
        <w:t>3. Голосование «Где грань?» (10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Учитель зачитывает новые ситуации (можно заранее подготовленные от имени вымышленных персонажей). Дети анонимно голосуют (закрыв глаза, поднимают руку, или цветными карточками), перешла ли ситуация грань в травлю. Подсчёт и обсуждение разногласий.</w:t>
      </w:r>
    </w:p>
    <w:p>
      <w:pPr>
        <w:pStyle w:val="Heading2"/>
      </w:pPr>
      <w:r>
        <w:t>4. Создание «Кодекса юмора» (10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Класс совместно формулирует 3–4 правила здорового юмора в классе, например: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«Мы шутим так, чтобы смеялись все, включая того, над кем шутят».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«Если человек говорит "хватит" или видно, что ему неприятно, мы немедленно прекращаем».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«Мы не шутим над внешностью, семьёй и неудачами».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Правила записываются на плакат и могут быть добавлены к общему своду класса.</w:t>
      </w:r>
    </w:p>
    <w:p>
      <w:pPr>
        <w:pStyle w:val="Heading2"/>
      </w:pPr>
      <w:r>
        <w:t>5. Рефлексия (5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Учитель просит каждого написать на стикере один вывод, который он сделал для себя. Стикеры наклеиваются на доску. Зачитывается несколько.</w:t>
      </w:r>
    </w:p>
    <w:p>
      <w:pPr>
        <w:pStyle w:val="Heading1"/>
        <w:pageBreakBefore/>
      </w:pPr>
      <w:r>
        <w:t>Материалы для печати</w:t>
      </w:r>
    </w:p>
    <w:p>
      <w:pPr>
        <w:spacing w:after="240"/>
      </w:pPr>
      <w:r>
        <w:t>Распечатайте нужные страницы в количестве, соответствующем числу участников и групп.</w:t>
      </w:r>
    </w:p>
    <w:p>
      <w:pPr>
        <w:pStyle w:val="Heading2"/>
        <w:pageBreakBefore w:val="0"/>
      </w:pPr>
      <w:r>
        <w:t>Карточки с ситуациями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7DEE7"/>
          <w:left w:val="single" w:sz="6" w:space="0" w:color="D7DEE7"/>
          <w:bottom w:val="single" w:sz="6" w:space="0" w:color="D7DEE7"/>
          <w:right w:val="single" w:sz="6" w:space="0" w:color="D7DEE7"/>
          <w:insideH w:val="single" w:sz="6" w:space="0" w:color="D7DEE7"/>
          <w:insideV w:val="single" w:sz="6" w:space="0" w:color="D7DEE7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b/>
                <w:color w:val="123A5A"/>
                <w:sz w:val="22"/>
              </w:rPr>
              <w:t>Ситуация 1</w:t>
              <w:br/>
            </w:r>
            <w:r>
              <w:rPr>
                <w:rFonts w:ascii="Calibri" w:hAnsi="Calibri" w:eastAsia="Calibri" w:cs="Calibri"/>
                <w:sz w:val="21"/>
              </w:rPr>
              <w:t>Коля пошутил над тем, как Маша прочитала стих, и все засмеялись, включая Машу.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FFF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b/>
                <w:color w:val="123A5A"/>
                <w:sz w:val="22"/>
              </w:rPr>
              <w:t>Ситуация 2</w:t>
              <w:br/>
            </w:r>
            <w:r>
              <w:rPr>
                <w:rFonts w:ascii="Calibri" w:hAnsi="Calibri" w:eastAsia="Calibri" w:cs="Calibri"/>
                <w:sz w:val="21"/>
              </w:rPr>
              <w:t>Петя постоянно называет Васю обидным прозвищем; Вася каждый раз хмурится и отворачивается.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b/>
                <w:color w:val="123A5A"/>
                <w:sz w:val="22"/>
              </w:rPr>
              <w:t>Ситуация 3</w:t>
              <w:br/>
            </w:r>
            <w:r>
              <w:rPr>
                <w:rFonts w:ascii="Calibri" w:hAnsi="Calibri" w:eastAsia="Calibri" w:cs="Calibri"/>
                <w:sz w:val="21"/>
              </w:rPr>
              <w:t>Девочки шепчутся и хихикают, когда мимо проходит Аня; Аня ускоряет шаг.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FFF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b/>
                <w:color w:val="123A5A"/>
                <w:sz w:val="22"/>
              </w:rPr>
              <w:t>Ситуация 4</w:t>
              <w:br/>
            </w:r>
            <w:r>
              <w:rPr>
                <w:rFonts w:ascii="Calibri" w:hAnsi="Calibri" w:eastAsia="Calibri" w:cs="Calibri"/>
                <w:sz w:val="21"/>
              </w:rPr>
              <w:t>Друзья подшучивают друг над другом, оба улыбаются.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b/>
                <w:color w:val="123A5A"/>
                <w:sz w:val="22"/>
              </w:rPr>
              <w:t>Ситуация 5</w:t>
              <w:br/>
            </w:r>
            <w:r>
              <w:rPr>
                <w:rFonts w:ascii="Calibri" w:hAnsi="Calibri" w:eastAsia="Calibri" w:cs="Calibri"/>
                <w:sz w:val="21"/>
              </w:rPr>
              <w:t>В соцсетях под фото одноклассника пишут унизительные комментарии, другие ставят реакции.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FFF" w:val="clear"/>
          </w:tcPr>
          <w:p>
            <w:pPr>
              <w:spacing w:before="120" w:after="120"/>
            </w:pPr>
            <w:r>
              <w:t xml:space="preserve"> </w:t>
            </w:r>
          </w:p>
        </w:tc>
      </w:tr>
    </w:tbl>
    <w:p>
      <w:pPr>
        <w:spacing w:after="0"/>
      </w:pPr>
    </w:p>
    <w:p>
      <w:pPr>
        <w:pStyle w:val="Heading2"/>
        <w:pageBreakBefore/>
      </w:pPr>
      <w:r>
        <w:t>Лист критериев «Шутка или травля?»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7DEE7"/>
          <w:left w:val="single" w:sz="6" w:space="0" w:color="D7DEE7"/>
          <w:bottom w:val="single" w:sz="6" w:space="0" w:color="D7DEE7"/>
          <w:right w:val="single" w:sz="6" w:space="0" w:color="D7DEE7"/>
          <w:insideH w:val="single" w:sz="6" w:space="0" w:color="D7DEE7"/>
          <w:insideV w:val="single" w:sz="6" w:space="0" w:color="D7DEE7"/>
        </w:tblBorders>
      </w:tblPr>
      <w:tblGrid>
        <w:gridCol w:w="2200"/>
        <w:gridCol w:w="3580"/>
        <w:gridCol w:w="3580"/>
      </w:tblGrid>
      <w:tr>
        <w:trPr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r>
              <w:rPr>
                <w:rFonts w:ascii="Calibri" w:hAnsi="Calibri" w:eastAsia="Calibri" w:cs="Calibri"/>
                <w:b/>
                <w:color w:val="123A5A"/>
                <w:sz w:val="20"/>
              </w:rPr>
              <w:t>Критерий</w:t>
            </w:r>
          </w:p>
        </w:tc>
        <w:tc>
          <w:tcPr>
            <w:tcW w:type="dxa" w:w="3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r>
              <w:rPr>
                <w:rFonts w:ascii="Calibri" w:hAnsi="Calibri" w:eastAsia="Calibri" w:cs="Calibri"/>
                <w:b/>
                <w:color w:val="123A5A"/>
                <w:sz w:val="20"/>
              </w:rPr>
              <w:t>Признаки безопасной шутки</w:t>
            </w:r>
          </w:p>
        </w:tc>
        <w:tc>
          <w:tcPr>
            <w:tcW w:type="dxa" w:w="3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r>
              <w:rPr>
                <w:rFonts w:ascii="Calibri" w:hAnsi="Calibri" w:eastAsia="Calibri" w:cs="Calibri"/>
                <w:b/>
                <w:color w:val="123A5A"/>
                <w:sz w:val="20"/>
              </w:rPr>
              <w:t>Признаки унижения / травли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 w:eastAsia="Calibri" w:cs="Calibri"/>
                <w:b/>
                <w:sz w:val="20"/>
              </w:rPr>
              <w:t>Реакция адресата</w:t>
            </w:r>
          </w:p>
        </w:tc>
        <w:tc>
          <w:tcPr>
            <w:tcW w:type="dxa" w:w="3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  <w:tc>
          <w:tcPr>
            <w:tcW w:type="dxa" w:w="3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 w:eastAsia="Calibri" w:cs="Calibri"/>
                <w:b/>
                <w:sz w:val="20"/>
              </w:rPr>
              <w:t>Повторяемость</w:t>
            </w:r>
          </w:p>
        </w:tc>
        <w:tc>
          <w:tcPr>
            <w:tcW w:type="dxa" w:w="3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  <w:tc>
          <w:tcPr>
            <w:tcW w:type="dxa" w:w="3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 w:eastAsia="Calibri" w:cs="Calibri"/>
                <w:b/>
                <w:sz w:val="20"/>
              </w:rPr>
              <w:t>Цель</w:t>
            </w:r>
          </w:p>
        </w:tc>
        <w:tc>
          <w:tcPr>
            <w:tcW w:type="dxa" w:w="3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  <w:tc>
          <w:tcPr>
            <w:tcW w:type="dxa" w:w="3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 w:eastAsia="Calibri" w:cs="Calibri"/>
                <w:b/>
                <w:sz w:val="20"/>
              </w:rPr>
              <w:t>Готовность остановиться</w:t>
            </w:r>
          </w:p>
        </w:tc>
        <w:tc>
          <w:tcPr>
            <w:tcW w:type="dxa" w:w="3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  <w:tc>
          <w:tcPr>
            <w:tcW w:type="dxa" w:w="3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 w:eastAsia="Calibri" w:cs="Calibri"/>
                <w:b/>
                <w:sz w:val="20"/>
              </w:rPr>
              <w:t>Равноправие</w:t>
            </w:r>
          </w:p>
        </w:tc>
        <w:tc>
          <w:tcPr>
            <w:tcW w:type="dxa" w:w="3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  <w:tc>
          <w:tcPr>
            <w:tcW w:type="dxa" w:w="3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</w:tr>
    </w:tbl>
    <w:p>
      <w:pPr>
        <w:pStyle w:val="Heading2"/>
        <w:pageBreakBefore/>
      </w:pPr>
      <w:r>
        <w:t>Кодекс здорового юмора</w:t>
      </w:r>
    </w:p>
    <w:p>
      <w:pPr>
        <w:spacing w:after="80"/>
      </w:pPr>
      <w:r>
        <w:rPr>
          <w:rFonts w:ascii="Calibri" w:hAnsi="Calibri" w:eastAsia="Calibri" w:cs="Calibri"/>
          <w:b/>
          <w:color w:val="123A5A"/>
          <w:sz w:val="22"/>
        </w:rPr>
        <w:t>Правило 1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 w:cs="Calibri"/>
          <w:b/>
          <w:color w:val="123A5A"/>
          <w:sz w:val="22"/>
        </w:rPr>
        <w:t>Правило 2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 w:cs="Calibri"/>
          <w:b/>
          <w:color w:val="123A5A"/>
          <w:sz w:val="22"/>
        </w:rPr>
        <w:t>Правило 3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 w:cs="Calibri"/>
          <w:b/>
          <w:color w:val="123A5A"/>
          <w:sz w:val="22"/>
        </w:rPr>
        <w:t>Что мы делаем, если кто-то просит остановиться?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15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 w:eastAsia="Calibri" w:cs="Calibri"/>
        <w:color w:val="5B6570"/>
        <w:sz w:val="17"/>
      </w:rPr>
      <w:t xml:space="preserve">Национальный институт защиты детства  •  </w:t>
    </w:r>
    <w:r>
      <w:rPr>
        <w:rFonts w:ascii="Calibri" w:hAnsi="Calibri" w:eastAsia="Calibri" w:cs="Calibri"/>
        <w:color w:val="5B6570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 w:eastAsia="Calibri" w:cs="Calibri"/>
        <w:b/>
        <w:color w:val="5B6570"/>
        <w:sz w:val="17"/>
      </w:rPr>
      <w:t>БИБЛИОТЕКА МЕТОДИЧЕСКИХ МАТЕРИАЛОВ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</w:pPr>
      <w:rPr>
        <w:rFonts w:ascii="Calibri" w:hAnsi="Calibri"/>
      </w:rPr>
    </w:lvl>
  </w:abstract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</w:pPr>
      <w:rPr>
        <w:rFonts w:ascii="Calibri" w:hAnsi="Calibri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pageBreakBefore w:val="0"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pageBreakBefore w:val="0"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pageBreakBefore w:val="0"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A5A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Классный час «Тонкая грань: шутка или травля?»</dc:title>
  <dc:subject>Профилактика буллинга. Конспект классного часа с раздаточными материалами.</dc:subject>
  <dc:creator/>
  <cp:keywords>буллинг, травля, классный час, профилактика, школа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Методические материалы</cp:category>
</cp:coreProperties>
</file>